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1/17/2016  INA meeting (Urbandale Public Library)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Sarvendra Agrahari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Aabristi Khadka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Roshan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Krishna Pandit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Biswas Bhattarai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Prem Gyawali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Sanjita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Bikal Adhikari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Sachet Upadhya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Ajay Bhattarai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Ghimire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Village Chair: Sachet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Co-Chair: ????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Treasurer: Pradeep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Food - Krishna &amp; Ajay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Tent - Anu / Sara (Advisor - Pradeep/Madan)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Cultural Activities (Pool) - Abristi/Poonam/Rachayita/Pradeep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Operation (Pool) - Sharvendra/Prajwol/Belayat/Prem/Bishwas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Action Items: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Need to decide for Friday Food Festival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Gift 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Feasibility check for Mithila Art 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Tentative Budget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Send invitation for cultural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Prepared By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Madan Thapa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Reviewed \ Edited 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